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2</w:t>
      </w:r>
    </w:p>
    <w:p>
      <w:pPr>
        <w:snapToGrid w:val="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sz w:val="44"/>
          <w:szCs w:val="24"/>
        </w:rPr>
      </w:pPr>
      <w:bookmarkStart w:id="0" w:name="_GoBack"/>
      <w:r>
        <w:rPr>
          <w:rFonts w:ascii="Times New Roman" w:hAnsi="Times New Roman" w:eastAsia="方正小标宋简体" w:cs="Times New Roman"/>
          <w:sz w:val="44"/>
          <w:szCs w:val="2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24"/>
        </w:rPr>
        <w:t>3</w:t>
      </w:r>
      <w:r>
        <w:rPr>
          <w:rFonts w:ascii="Times New Roman" w:hAnsi="Times New Roman" w:eastAsia="方正小标宋简体" w:cs="Times New Roman"/>
          <w:sz w:val="44"/>
          <w:szCs w:val="24"/>
        </w:rPr>
        <w:t>年湖南省学位与研究生教</w:t>
      </w:r>
      <w:r>
        <w:rPr>
          <w:rFonts w:hint="eastAsia" w:ascii="Times New Roman" w:hAnsi="Times New Roman" w:eastAsia="方正小标宋简体" w:cs="Times New Roman"/>
          <w:sz w:val="44"/>
          <w:szCs w:val="24"/>
        </w:rPr>
        <w:t>学</w:t>
      </w:r>
    </w:p>
    <w:p>
      <w:pPr>
        <w:spacing w:line="580" w:lineRule="exact"/>
        <w:jc w:val="center"/>
        <w:rPr>
          <w:rFonts w:ascii="Times New Roman" w:hAnsi="Times New Roman" w:eastAsia="方正小标宋简体" w:cs="Times New Roman"/>
          <w:sz w:val="26"/>
          <w:szCs w:val="18"/>
        </w:rPr>
      </w:pPr>
      <w:r>
        <w:rPr>
          <w:rFonts w:ascii="Times New Roman" w:hAnsi="Times New Roman" w:eastAsia="方正小标宋简体" w:cs="Times New Roman"/>
          <w:sz w:val="44"/>
          <w:szCs w:val="24"/>
        </w:rPr>
        <w:t>改革研究项目申报指南</w:t>
      </w:r>
      <w:bookmarkEnd w:id="0"/>
    </w:p>
    <w:p>
      <w:pPr>
        <w:snapToGrid w:val="0"/>
        <w:rPr>
          <w:rFonts w:ascii="Times New Roman" w:hAnsi="Times New Roman" w:eastAsia="黑体" w:cs="Times New Roman"/>
          <w:sz w:val="32"/>
          <w:szCs w:val="32"/>
        </w:rPr>
      </w:pP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主要围绕以下方向开展研究：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研究生教育评价改革实践与探索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2. 专业学位研究生教育评价改革实践与探索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3. 学术学位研究生教育改革实践与探索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4. 研究生课程思政教育教学改革实践与探索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学士学位授权与授予管理实践与探索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．提高研究生培养质量的改革实践与理论探索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健全</w:t>
      </w:r>
      <w:r>
        <w:rPr>
          <w:rFonts w:ascii="Times New Roman" w:hAnsi="Times New Roman" w:eastAsia="仿宋_GB2312" w:cs="Times New Roman"/>
          <w:sz w:val="32"/>
          <w:szCs w:val="32"/>
        </w:rPr>
        <w:t>研究生导师管理体制机制探索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．研究生教育综合改革的实践与探索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9</w:t>
      </w:r>
      <w:r>
        <w:rPr>
          <w:rFonts w:ascii="Times New Roman" w:hAnsi="Times New Roman" w:eastAsia="仿宋_GB2312" w:cs="Times New Roman"/>
          <w:sz w:val="32"/>
          <w:szCs w:val="32"/>
        </w:rPr>
        <w:t>．研究生课程教学改革的实践与探索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10</w:t>
      </w:r>
      <w:r>
        <w:rPr>
          <w:rFonts w:ascii="Times New Roman" w:hAnsi="Times New Roman" w:eastAsia="仿宋_GB2312" w:cs="Times New Roman"/>
          <w:sz w:val="32"/>
          <w:szCs w:val="32"/>
        </w:rPr>
        <w:t>．强化研究生科研创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新与实践</w:t>
      </w:r>
      <w:r>
        <w:rPr>
          <w:rFonts w:ascii="Times New Roman" w:hAnsi="Times New Roman" w:eastAsia="仿宋_GB2312" w:cs="Times New Roman"/>
          <w:sz w:val="32"/>
          <w:szCs w:val="32"/>
        </w:rPr>
        <w:t>能力培养的实践与探索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11</w:t>
      </w:r>
      <w:r>
        <w:rPr>
          <w:rFonts w:ascii="Times New Roman" w:hAnsi="Times New Roman" w:eastAsia="仿宋_GB2312" w:cs="Times New Roman"/>
          <w:sz w:val="32"/>
          <w:szCs w:val="32"/>
        </w:rPr>
        <w:t>．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培养高质量工程领域研究生的实践与探索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12</w:t>
      </w:r>
      <w:r>
        <w:rPr>
          <w:rFonts w:ascii="Times New Roman" w:hAnsi="Times New Roman" w:eastAsia="仿宋_GB2312" w:cs="Times New Roman"/>
          <w:sz w:val="32"/>
          <w:szCs w:val="32"/>
        </w:rPr>
        <w:t>．学位论文质量的监管与改革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研究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sz w:val="32"/>
          <w:szCs w:val="32"/>
        </w:rPr>
        <w:t>．改进研究生培养过程管理的实践与探索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．“双一流”建设与研究生教育改革的互动研究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．服务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“三高四新”</w:t>
      </w:r>
      <w:r>
        <w:rPr>
          <w:rFonts w:ascii="Times New Roman" w:hAnsi="Times New Roman" w:eastAsia="仿宋_GB2312" w:cs="Times New Roman"/>
          <w:sz w:val="32"/>
          <w:szCs w:val="32"/>
        </w:rPr>
        <w:t>的研究生教育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改革与实践</w:t>
      </w:r>
      <w:r>
        <w:rPr>
          <w:rFonts w:ascii="Times New Roman" w:hAnsi="Times New Roman" w:eastAsia="仿宋_GB2312" w:cs="Times New Roman"/>
          <w:sz w:val="32"/>
          <w:szCs w:val="32"/>
        </w:rPr>
        <w:t>研究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6</w:t>
      </w:r>
      <w:r>
        <w:rPr>
          <w:rFonts w:ascii="Times New Roman" w:hAnsi="Times New Roman" w:eastAsia="仿宋_GB2312" w:cs="Times New Roman"/>
          <w:sz w:val="32"/>
          <w:szCs w:val="32"/>
        </w:rPr>
        <w:t>．加强学科建设和学位点建设的实践与探索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7</w:t>
      </w:r>
      <w:r>
        <w:rPr>
          <w:rFonts w:ascii="Times New Roman" w:hAnsi="Times New Roman" w:eastAsia="仿宋_GB2312" w:cs="Times New Roman"/>
          <w:sz w:val="32"/>
          <w:szCs w:val="32"/>
        </w:rPr>
        <w:t>．非全日制研究生教育改革与探索</w:t>
      </w:r>
    </w:p>
    <w:p>
      <w:pPr>
        <w:spacing w:line="54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．学位论文（学术学位论文、专业学位论文、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学士学位</w:t>
      </w:r>
      <w:r>
        <w:rPr>
          <w:rFonts w:ascii="Times New Roman" w:hAnsi="Times New Roman" w:eastAsia="仿宋_GB2312" w:cs="Times New Roman"/>
          <w:sz w:val="32"/>
          <w:szCs w:val="32"/>
        </w:rPr>
        <w:t>论文）分类评价的实践与探索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C335A"/>
    <w:rsid w:val="307C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2023-10-11T02:37:00Z</dcterms:created>
  <dc:creator>硕。</dc:creator>
  <cp:lastModifiedBy>硕。</cp:lastModifiedBy>
  <dcterms:modified xsi:type="dcterms:W3CDTF">2023-10-11T02:38:48Z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